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autoSpaceDE/>
        <w:autoSpaceDN/>
        <w:bidi w:val="0"/>
        <w:adjustRightInd/>
        <w:snapToGrid/>
        <w:spacing w:line="592"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w:t>
      </w:r>
    </w:p>
    <w:p>
      <w:pPr>
        <w:pageBreakBefore w:val="0"/>
        <w:widowControl w:val="0"/>
        <w:kinsoku/>
        <w:wordWrap/>
        <w:overflowPunct/>
        <w:topLinePunct w:val="0"/>
        <w:autoSpaceDE/>
        <w:autoSpaceDN/>
        <w:bidi w:val="0"/>
        <w:adjustRightInd/>
        <w:snapToGrid/>
        <w:spacing w:line="592" w:lineRule="exact"/>
        <w:textAlignment w:val="auto"/>
        <w:rPr>
          <w:rFonts w:hint="default" w:ascii="Times New Roman" w:hAnsi="Times New Roman" w:eastAsia="仿宋_GB2312" w:cs="Times New Roman"/>
          <w:sz w:val="32"/>
          <w:szCs w:val="32"/>
          <w:lang w:val="en-US" w:eastAsia="zh-CN"/>
        </w:rPr>
      </w:pPr>
    </w:p>
    <w:p>
      <w:pPr>
        <w:pStyle w:val="2"/>
        <w:pageBreakBefore w:val="0"/>
        <w:widowControl w:val="0"/>
        <w:kinsoku/>
        <w:wordWrap/>
        <w:overflowPunct/>
        <w:topLinePunct w:val="0"/>
        <w:autoSpaceDE/>
        <w:autoSpaceDN/>
        <w:bidi w:val="0"/>
        <w:adjustRightInd/>
        <w:snapToGrid/>
        <w:spacing w:before="0" w:after="0" w:line="592" w:lineRule="exact"/>
        <w:jc w:val="center"/>
        <w:textAlignment w:val="auto"/>
        <w:rPr>
          <w:rFonts w:hint="eastAsia" w:ascii="方正小标宋简体" w:hAnsi="方正小标宋简体" w:eastAsia="方正小标宋简体" w:cs="方正小标宋简体"/>
          <w:b w:val="0"/>
          <w:bCs w:val="0"/>
          <w:szCs w:val="32"/>
        </w:rPr>
      </w:pPr>
      <w:r>
        <w:rPr>
          <w:rFonts w:hint="eastAsia" w:ascii="方正小标宋简体" w:hAnsi="方正小标宋简体" w:eastAsia="方正小标宋简体" w:cs="方正小标宋简体"/>
          <w:b w:val="0"/>
          <w:bCs w:val="0"/>
          <w:szCs w:val="32"/>
        </w:rPr>
        <w:t>达拉特英才认定评定实施办法</w:t>
      </w:r>
      <w:bookmarkStart w:id="0" w:name="_GoBack"/>
      <w:bookmarkEnd w:id="0"/>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仿宋_GB2312" w:hAnsi="仿宋_GB2312" w:eastAsia="仿宋_GB2312" w:cs="仿宋_GB2312"/>
          <w:sz w:val="32"/>
          <w:szCs w:val="32"/>
        </w:rPr>
      </w:pPr>
    </w:p>
    <w:p>
      <w:pPr>
        <w:pageBreakBefore w:val="0"/>
        <w:widowControl w:val="0"/>
        <w:numPr>
          <w:ilvl w:val="0"/>
          <w:numId w:val="0"/>
        </w:numPr>
        <w:kinsoku/>
        <w:wordWrap/>
        <w:overflowPunct/>
        <w:topLinePunct w:val="0"/>
        <w:autoSpaceDE/>
        <w:autoSpaceDN/>
        <w:bidi w:val="0"/>
        <w:adjustRightInd/>
        <w:snapToGrid/>
        <w:spacing w:line="592" w:lineRule="exact"/>
        <w:jc w:val="center"/>
        <w:textAlignment w:val="auto"/>
        <w:rPr>
          <w:rFonts w:hint="eastAsia" w:ascii="黑体" w:eastAsia="黑体"/>
          <w:sz w:val="32"/>
          <w:szCs w:val="32"/>
        </w:rPr>
      </w:pPr>
      <w:r>
        <w:rPr>
          <w:rFonts w:hint="eastAsia" w:ascii="黑体" w:eastAsia="黑体"/>
          <w:sz w:val="32"/>
          <w:szCs w:val="32"/>
          <w:lang w:eastAsia="zh-CN"/>
        </w:rPr>
        <w:t>第一章</w:t>
      </w:r>
      <w:r>
        <w:rPr>
          <w:rFonts w:hint="eastAsia" w:ascii="黑体" w:eastAsia="黑体"/>
          <w:sz w:val="32"/>
          <w:szCs w:val="32"/>
          <w:lang w:val="en-US" w:eastAsia="zh-CN"/>
        </w:rPr>
        <w:t xml:space="preserve">  </w:t>
      </w:r>
      <w:r>
        <w:rPr>
          <w:rFonts w:hint="eastAsia" w:ascii="黑体" w:eastAsia="黑体"/>
          <w:sz w:val="32"/>
          <w:szCs w:val="32"/>
        </w:rPr>
        <w:t>总  则</w:t>
      </w:r>
    </w:p>
    <w:p>
      <w:pPr>
        <w:pageBreakBefore w:val="0"/>
        <w:widowControl w:val="0"/>
        <w:kinsoku/>
        <w:wordWrap/>
        <w:overflowPunct/>
        <w:topLinePunct w:val="0"/>
        <w:autoSpaceDE/>
        <w:autoSpaceDN/>
        <w:bidi w:val="0"/>
        <w:adjustRightInd/>
        <w:snapToGrid/>
        <w:spacing w:line="592" w:lineRule="exact"/>
        <w:textAlignment w:val="auto"/>
        <w:rPr>
          <w:rFonts w:hint="eastAsia" w:ascii="黑体" w:eastAsia="黑体"/>
          <w:sz w:val="32"/>
          <w:szCs w:val="32"/>
        </w:rPr>
      </w:pP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仿宋_GB2312" w:eastAsia="仿宋_GB2312"/>
          <w:sz w:val="32"/>
          <w:szCs w:val="32"/>
        </w:rPr>
      </w:pPr>
      <w:r>
        <w:rPr>
          <w:rFonts w:hint="eastAsia" w:ascii="仿宋_GB2312" w:eastAsia="仿宋_GB2312"/>
          <w:sz w:val="32"/>
          <w:szCs w:val="32"/>
        </w:rPr>
        <w:t>　</w:t>
      </w:r>
      <w:r>
        <w:rPr>
          <w:rFonts w:hint="eastAsia" w:ascii="仿宋_GB2312" w:eastAsia="仿宋_GB2312"/>
          <w:b/>
          <w:sz w:val="32"/>
          <w:szCs w:val="32"/>
        </w:rPr>
        <w:t>　</w:t>
      </w:r>
      <w:r>
        <w:rPr>
          <w:rFonts w:hint="eastAsia" w:ascii="黑体" w:hAnsi="黑体" w:eastAsia="黑体" w:cs="黑体"/>
          <w:bCs/>
          <w:sz w:val="32"/>
          <w:szCs w:val="32"/>
        </w:rPr>
        <w:t>第一条</w:t>
      </w:r>
      <w:r>
        <w:rPr>
          <w:rFonts w:hint="eastAsia" w:ascii="仿宋_GB2312" w:eastAsia="仿宋_GB2312"/>
          <w:sz w:val="32"/>
          <w:szCs w:val="32"/>
        </w:rPr>
        <w:t xml:space="preserve">  为建立科学、规范、体现能力、突出业绩的人才评价和选拔体系，根据《鄂尔多斯市高层次人才认定评定办法》《达拉特旗关于深化人才发展体制机制改革进一步推进“人才达拉特”战略的实施意见》有关精神，结合我旗实际，制定本办法。</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仿宋_GB2312" w:eastAsia="仿宋_GB2312"/>
          <w:color w:val="000000"/>
          <w:sz w:val="32"/>
          <w:szCs w:val="32"/>
        </w:rPr>
      </w:pPr>
      <w:r>
        <w:rPr>
          <w:rFonts w:hint="eastAsia" w:ascii="仿宋_GB2312" w:eastAsia="仿宋_GB2312"/>
          <w:sz w:val="32"/>
          <w:szCs w:val="32"/>
        </w:rPr>
        <w:t>　　</w:t>
      </w:r>
      <w:r>
        <w:rPr>
          <w:rFonts w:hint="eastAsia" w:ascii="黑体" w:hAnsi="黑体" w:eastAsia="黑体" w:cs="黑体"/>
          <w:bCs/>
          <w:sz w:val="32"/>
          <w:szCs w:val="32"/>
        </w:rPr>
        <w:t>第二条</w:t>
      </w:r>
      <w:r>
        <w:rPr>
          <w:rFonts w:hint="eastAsia" w:ascii="仿宋_GB2312" w:eastAsia="仿宋_GB2312"/>
          <w:sz w:val="32"/>
          <w:szCs w:val="32"/>
        </w:rPr>
        <w:t>　</w:t>
      </w:r>
      <w:r>
        <w:rPr>
          <w:rFonts w:hint="eastAsia" w:ascii="仿宋_GB2312" w:eastAsia="仿宋_GB2312"/>
          <w:color w:val="000000"/>
          <w:sz w:val="32"/>
          <w:szCs w:val="32"/>
        </w:rPr>
        <w:t>本办法所指“达拉特英才”包括在我旗从事工作的各类专业技术人才，各类优秀企业家、各领域高级专家和做出突出贡献的高技能人才、农村牧区实用人才、社会工作人才及为我旗科技发展做出积极贡献的优秀科技工作者。依其业绩与贡献不同，划分为“达拉特杰出英才”“达拉特贡献突出英才”“达拉特青年优秀人才”三个层次。</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highlight w:val="none"/>
        </w:rPr>
      </w:pPr>
      <w:r>
        <w:rPr>
          <w:rFonts w:hint="eastAsia" w:ascii="黑体" w:hAnsi="黑体" w:eastAsia="黑体" w:cs="黑体"/>
          <w:bCs/>
          <w:sz w:val="32"/>
          <w:szCs w:val="32"/>
          <w:highlight w:val="none"/>
        </w:rPr>
        <w:t>第三条</w:t>
      </w:r>
      <w:r>
        <w:rPr>
          <w:rFonts w:hint="eastAsia" w:ascii="仿宋_GB2312" w:eastAsia="仿宋_GB2312"/>
          <w:sz w:val="32"/>
          <w:szCs w:val="32"/>
          <w:highlight w:val="none"/>
        </w:rPr>
        <w:t xml:space="preserve">  “达拉特英才”通过认定和评定两种方式产生，每2年开展一次。“达拉特英才”认定名额原则上不设上限。</w:t>
      </w:r>
      <w:r>
        <w:rPr>
          <w:rFonts w:hint="eastAsia" w:ascii="仿宋_GB2312" w:eastAsia="仿宋_GB2312"/>
          <w:color w:val="000000"/>
          <w:sz w:val="32"/>
          <w:szCs w:val="32"/>
          <w:highlight w:val="none"/>
        </w:rPr>
        <w:t>“达拉特杰出英才”评定名额每届一般不超过5名，“达拉特贡献突出英才”评定名额每届一般不超过5名，“达拉特青年优秀人才”只通过评定方式产生，评定名额每届一般不超过10名。</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rPr>
      </w:pPr>
      <w:r>
        <w:rPr>
          <w:rFonts w:hint="eastAsia" w:ascii="黑体" w:hAnsi="黑体" w:eastAsia="黑体" w:cs="黑体"/>
          <w:bCs/>
          <w:sz w:val="32"/>
          <w:szCs w:val="32"/>
        </w:rPr>
        <w:t xml:space="preserve">第四条 </w:t>
      </w:r>
      <w:r>
        <w:rPr>
          <w:rFonts w:hint="eastAsia" w:ascii="仿宋_GB2312" w:eastAsia="仿宋_GB2312"/>
          <w:sz w:val="32"/>
          <w:szCs w:val="32"/>
        </w:rPr>
        <w:t>“达拉特英才”认定、评定坚持公开、公平、公正的原则，坚持品德、知识、能力和业绩并重的原则，坚持业内认可和社会认可的原则。</w:t>
      </w:r>
    </w:p>
    <w:p>
      <w:pPr>
        <w:keepNext w:val="0"/>
        <w:keepLines w:val="0"/>
        <w:pageBreakBefore w:val="0"/>
        <w:widowControl w:val="0"/>
        <w:kinsoku/>
        <w:wordWrap/>
        <w:overflowPunct/>
        <w:topLinePunct w:val="0"/>
        <w:autoSpaceDE/>
        <w:autoSpaceDN/>
        <w:bidi w:val="0"/>
        <w:adjustRightInd/>
        <w:snapToGrid/>
        <w:spacing w:line="592" w:lineRule="exact"/>
        <w:ind w:firstLine="660"/>
        <w:textAlignment w:val="auto"/>
        <w:rPr>
          <w:rFonts w:hint="eastAsia" w:ascii="仿宋_GB2312" w:eastAsia="仿宋_GB2312"/>
          <w:sz w:val="32"/>
          <w:szCs w:val="32"/>
        </w:rPr>
      </w:pPr>
      <w:r>
        <w:rPr>
          <w:rFonts w:hint="eastAsia" w:ascii="黑体" w:hAnsi="黑体" w:eastAsia="黑体" w:cs="黑体"/>
          <w:bCs/>
          <w:sz w:val="32"/>
          <w:szCs w:val="32"/>
        </w:rPr>
        <w:t>第五条</w:t>
      </w:r>
      <w:r>
        <w:rPr>
          <w:rFonts w:hint="eastAsia" w:ascii="仿宋_GB2312" w:eastAsia="仿宋_GB2312"/>
          <w:b/>
          <w:sz w:val="32"/>
          <w:szCs w:val="32"/>
        </w:rPr>
        <w:t xml:space="preserve"> </w:t>
      </w:r>
      <w:r>
        <w:rPr>
          <w:rFonts w:hint="eastAsia" w:ascii="仿宋_GB2312" w:eastAsia="仿宋_GB2312"/>
          <w:sz w:val="32"/>
          <w:szCs w:val="32"/>
        </w:rPr>
        <w:t>“达拉特英才”认定、评定工作在旗人才工作领导小组领导下，由旗人才工作领导小组办公室统筹协调，旗委组织部、旗人力资源和社会保障局组织实施，相关部分协同配合，共同参与。</w:t>
      </w:r>
    </w:p>
    <w:p>
      <w:pPr>
        <w:keepNext w:val="0"/>
        <w:keepLines w:val="0"/>
        <w:pageBreakBefore w:val="0"/>
        <w:widowControl w:val="0"/>
        <w:kinsoku/>
        <w:wordWrap/>
        <w:overflowPunct/>
        <w:topLinePunct w:val="0"/>
        <w:autoSpaceDE/>
        <w:autoSpaceDN/>
        <w:bidi w:val="0"/>
        <w:adjustRightInd/>
        <w:snapToGrid/>
        <w:spacing w:line="592" w:lineRule="exact"/>
        <w:ind w:firstLine="660"/>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92" w:lineRule="exact"/>
        <w:jc w:val="center"/>
        <w:textAlignment w:val="auto"/>
        <w:rPr>
          <w:rFonts w:hint="eastAsia" w:ascii="黑体" w:hAnsi="黑体" w:eastAsia="黑体"/>
          <w:bCs/>
          <w:sz w:val="32"/>
        </w:rPr>
      </w:pPr>
      <w:r>
        <w:rPr>
          <w:rFonts w:hint="eastAsia" w:ascii="黑体" w:hAnsi="黑体" w:eastAsia="黑体"/>
          <w:bCs/>
          <w:sz w:val="32"/>
        </w:rPr>
        <w:t>第二章  认定、评定的范围与条件</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92" w:lineRule="exact"/>
        <w:ind w:firstLine="627" w:firstLineChars="196"/>
        <w:textAlignment w:val="auto"/>
        <w:rPr>
          <w:rFonts w:hint="eastAsia" w:ascii="仿宋_GB2312" w:eastAsia="仿宋_GB2312"/>
          <w:sz w:val="32"/>
          <w:szCs w:val="32"/>
        </w:rPr>
      </w:pPr>
      <w:r>
        <w:rPr>
          <w:rFonts w:hint="eastAsia" w:ascii="黑体" w:hAnsi="黑体" w:eastAsia="黑体" w:cs="黑体"/>
          <w:bCs/>
          <w:sz w:val="32"/>
          <w:szCs w:val="32"/>
        </w:rPr>
        <w:t xml:space="preserve">第六条  </w:t>
      </w:r>
      <w:r>
        <w:rPr>
          <w:rFonts w:hint="eastAsia" w:ascii="仿宋_GB2312" w:eastAsia="仿宋_GB2312"/>
          <w:sz w:val="32"/>
          <w:szCs w:val="32"/>
        </w:rPr>
        <w:t>“达拉特英才”认定、评定不受国籍、户籍的限制。</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highlight w:val="yellow"/>
        </w:rPr>
      </w:pPr>
      <w:r>
        <w:rPr>
          <w:rFonts w:hint="eastAsia" w:ascii="黑体" w:hAnsi="黑体" w:eastAsia="黑体" w:cs="黑体"/>
          <w:bCs/>
          <w:sz w:val="32"/>
          <w:szCs w:val="32"/>
        </w:rPr>
        <w:t>第七条</w:t>
      </w:r>
      <w:r>
        <w:rPr>
          <w:rFonts w:hint="eastAsia" w:ascii="仿宋_GB2312" w:eastAsia="仿宋_GB2312"/>
          <w:b/>
          <w:sz w:val="32"/>
          <w:szCs w:val="32"/>
        </w:rPr>
        <w:t xml:space="preserve"> </w:t>
      </w:r>
      <w:r>
        <w:rPr>
          <w:rFonts w:hint="eastAsia" w:ascii="仿宋_GB2312" w:eastAsia="仿宋_GB2312"/>
          <w:sz w:val="32"/>
          <w:szCs w:val="32"/>
        </w:rPr>
        <w:t>“达拉特英才”认定、评定对象重点为在我旗第一线从事专业技术或生产研发工作的人员。党政机关公务员及其他工作人员不列入认定、评定对象。参照公务员法管理的事业单位中，具有突出专业技术水平的人员可列入认定、评定对象。</w:t>
      </w:r>
    </w:p>
    <w:p>
      <w:pPr>
        <w:keepNext w:val="0"/>
        <w:keepLines w:val="0"/>
        <w:pageBreakBefore w:val="0"/>
        <w:widowControl w:val="0"/>
        <w:kinsoku/>
        <w:wordWrap/>
        <w:overflowPunct/>
        <w:topLinePunct w:val="0"/>
        <w:autoSpaceDE/>
        <w:autoSpaceDN/>
        <w:bidi w:val="0"/>
        <w:adjustRightInd/>
        <w:snapToGrid/>
        <w:spacing w:line="592" w:lineRule="exact"/>
        <w:ind w:firstLine="645"/>
        <w:textAlignment w:val="auto"/>
        <w:rPr>
          <w:rFonts w:hint="eastAsia" w:ascii="仿宋_GB2312" w:eastAsia="仿宋_GB2312"/>
          <w:sz w:val="32"/>
          <w:szCs w:val="32"/>
        </w:rPr>
      </w:pPr>
      <w:r>
        <w:rPr>
          <w:rFonts w:hint="eastAsia" w:ascii="黑体" w:hAnsi="黑体" w:eastAsia="黑体" w:cs="黑体"/>
          <w:bCs/>
          <w:sz w:val="32"/>
          <w:szCs w:val="32"/>
        </w:rPr>
        <w:t>第八条</w:t>
      </w:r>
      <w:r>
        <w:rPr>
          <w:rFonts w:hint="eastAsia" w:ascii="仿宋_GB2312" w:eastAsia="仿宋_GB2312"/>
          <w:b/>
          <w:sz w:val="32"/>
          <w:szCs w:val="32"/>
        </w:rPr>
        <w:t xml:space="preserve"> </w:t>
      </w:r>
      <w:r>
        <w:rPr>
          <w:rFonts w:hint="eastAsia" w:ascii="仿宋_GB2312" w:eastAsia="仿宋_GB2312"/>
          <w:sz w:val="32"/>
          <w:szCs w:val="32"/>
        </w:rPr>
        <w:t>“达拉特英才”除应具备相应认定、评定标准规定的条件外，还应当同时具备下列条件：</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（一）遵纪守法，热爱祖国，拥护党的路线、方针、政策。</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（二）专业基础扎实，自主创新能力强，学风正派，具有严谨求实、探索求知、崇尚真理的科学精神。</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（三）近五年来在工作岗位上取得突出业绩和成果，目前所从事的主要工作与本人专业专长密切相关。</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（四）在我旗企事业单位工作的人才，须签订不少于3年的劳动（聘用）合同并按规定在我旗缴纳社会保险。</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（五）柔性引进的人才，须与我旗用人单位签订3年以上服务合同，每年在我旗工作时间不少于3个月，并提供其在我旗开展项目合同、技术指导或担任相关职务的证明材料。</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（六）在我旗自主创业的，须提供创办企业营业执照和1年以上纳税证明。</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rPr>
        <w:t>（七）申报</w:t>
      </w:r>
      <w:r>
        <w:rPr>
          <w:rFonts w:hint="eastAsia" w:ascii="仿宋_GB2312" w:eastAsia="仿宋_GB2312"/>
          <w:color w:val="000000"/>
          <w:sz w:val="32"/>
          <w:szCs w:val="32"/>
          <w:highlight w:val="none"/>
        </w:rPr>
        <w:t>“达拉特杰出英才”“达拉特贡献突出英才”的人员，</w:t>
      </w:r>
      <w:r>
        <w:rPr>
          <w:rFonts w:hint="eastAsia" w:ascii="仿宋_GB2312" w:eastAsia="仿宋_GB2312"/>
          <w:sz w:val="32"/>
          <w:szCs w:val="32"/>
          <w:highlight w:val="none"/>
        </w:rPr>
        <w:t>年龄不受限制</w:t>
      </w:r>
      <w:r>
        <w:rPr>
          <w:rFonts w:hint="eastAsia" w:ascii="仿宋_GB2312" w:eastAsia="仿宋_GB2312"/>
          <w:color w:val="000000"/>
          <w:sz w:val="32"/>
          <w:szCs w:val="32"/>
          <w:highlight w:val="none"/>
        </w:rPr>
        <w:t>，申报“达拉特青年优秀人才”的</w:t>
      </w:r>
      <w:r>
        <w:rPr>
          <w:rFonts w:hint="eastAsia" w:ascii="仿宋_GB2312" w:eastAsia="仿宋_GB2312"/>
          <w:sz w:val="32"/>
          <w:szCs w:val="32"/>
          <w:highlight w:val="none"/>
        </w:rPr>
        <w:t xml:space="preserve">人员，年龄应未满45周岁。有特别突出贡献者和“特殊人才”，年龄条件可适当放宽。 </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92" w:lineRule="exact"/>
        <w:jc w:val="center"/>
        <w:textAlignment w:val="auto"/>
        <w:rPr>
          <w:rFonts w:hint="eastAsia" w:ascii="黑体" w:hAnsi="黑体" w:eastAsia="黑体"/>
          <w:bCs/>
          <w:sz w:val="32"/>
        </w:rPr>
      </w:pPr>
      <w:r>
        <w:rPr>
          <w:rFonts w:hint="eastAsia" w:ascii="黑体" w:hAnsi="黑体" w:eastAsia="黑体"/>
          <w:bCs/>
          <w:sz w:val="32"/>
        </w:rPr>
        <w:t>第三章  认定、评定方式及程序</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rPr>
      </w:pPr>
      <w:r>
        <w:rPr>
          <w:rFonts w:hint="eastAsia" w:ascii="仿宋_GB2312" w:eastAsia="仿宋_GB2312"/>
          <w:sz w:val="32"/>
          <w:szCs w:val="32"/>
        </w:rPr>
        <w:t>　　</w:t>
      </w:r>
      <w:r>
        <w:rPr>
          <w:rFonts w:hint="eastAsia" w:ascii="黑体" w:hAnsi="黑体" w:eastAsia="黑体" w:cs="黑体"/>
          <w:bCs/>
          <w:sz w:val="32"/>
          <w:szCs w:val="32"/>
        </w:rPr>
        <w:t>第九条</w:t>
      </w:r>
      <w:r>
        <w:rPr>
          <w:rFonts w:hint="eastAsia" w:ascii="仿宋_GB2312" w:eastAsia="仿宋_GB2312"/>
          <w:b/>
          <w:sz w:val="32"/>
          <w:szCs w:val="32"/>
        </w:rPr>
        <w:t xml:space="preserve"> </w:t>
      </w:r>
      <w:r>
        <w:rPr>
          <w:rFonts w:hint="eastAsia" w:ascii="仿宋_GB2312" w:eastAsia="仿宋_GB2312"/>
          <w:sz w:val="32"/>
          <w:szCs w:val="32"/>
        </w:rPr>
        <w:t xml:space="preserve"> 根据我旗经济社会发展和人才需求状况，制定“达拉特英才”认定、评定标准，并结合实际情况适时调整补充，实行动态发布机制。 </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rPr>
      </w:pPr>
      <w:r>
        <w:rPr>
          <w:rFonts w:hint="eastAsia" w:ascii="黑体" w:hAnsi="黑体" w:eastAsia="黑体" w:cs="黑体"/>
          <w:bCs/>
          <w:sz w:val="32"/>
          <w:szCs w:val="32"/>
        </w:rPr>
        <w:t>第十条</w:t>
      </w:r>
      <w:r>
        <w:rPr>
          <w:rFonts w:hint="eastAsia" w:ascii="仿宋_GB2312" w:eastAsia="仿宋_GB2312"/>
          <w:b/>
          <w:sz w:val="32"/>
          <w:szCs w:val="32"/>
        </w:rPr>
        <w:t xml:space="preserve"> </w:t>
      </w:r>
      <w:r>
        <w:rPr>
          <w:rFonts w:hint="eastAsia" w:ascii="仿宋_GB2312" w:eastAsia="仿宋_GB2312"/>
          <w:sz w:val="32"/>
          <w:szCs w:val="32"/>
        </w:rPr>
        <w:t>“达拉特英才”认定和评定程序如下：</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（一）信息发布。旗人才工作领导小组办公室发布申报指南，明确申报方式、申报程序及相关要求等。</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（二）申报。个人向所在单位提出申请并提供相关证明材料。提出认定申请的，填写《“达拉特英才”认定申报表》；提出评定申请的，填写《“达拉特英才”评定申报表》。</w:t>
      </w:r>
    </w:p>
    <w:p>
      <w:pPr>
        <w:keepNext w:val="0"/>
        <w:keepLines w:val="0"/>
        <w:pageBreakBefore w:val="0"/>
        <w:widowControl w:val="0"/>
        <w:kinsoku/>
        <w:wordWrap/>
        <w:overflowPunct/>
        <w:topLinePunct w:val="0"/>
        <w:autoSpaceDE/>
        <w:autoSpaceDN/>
        <w:bidi w:val="0"/>
        <w:adjustRightInd/>
        <w:snapToGrid/>
        <w:spacing w:line="592" w:lineRule="exact"/>
        <w:ind w:firstLine="645"/>
        <w:textAlignment w:val="auto"/>
        <w:rPr>
          <w:rFonts w:hint="eastAsia" w:ascii="仿宋_GB2312" w:eastAsia="仿宋_GB2312"/>
          <w:sz w:val="32"/>
          <w:szCs w:val="32"/>
        </w:rPr>
      </w:pPr>
      <w:r>
        <w:rPr>
          <w:rFonts w:hint="eastAsia" w:ascii="仿宋_GB2312" w:eastAsia="仿宋_GB2312"/>
          <w:sz w:val="32"/>
          <w:szCs w:val="32"/>
        </w:rPr>
        <w:t>（三）单位及主管部门审核。申报人由所在单位对申报人各项条件和证明材料进行审核，主管部门加具推荐意见后，报旗人力资源和社会保障局；申报人所在单位无主管部门的，可直接报旗人力资源和社会保障局；申报人无工作单位的，由从事相关行业主管部门或协会、学会加具推荐意见后，报旗人力资源和社会保障局。</w:t>
      </w:r>
    </w:p>
    <w:p>
      <w:pPr>
        <w:keepNext w:val="0"/>
        <w:keepLines w:val="0"/>
        <w:pageBreakBefore w:val="0"/>
        <w:widowControl w:val="0"/>
        <w:kinsoku/>
        <w:wordWrap/>
        <w:overflowPunct/>
        <w:topLinePunct w:val="0"/>
        <w:autoSpaceDE/>
        <w:autoSpaceDN/>
        <w:bidi w:val="0"/>
        <w:adjustRightInd/>
        <w:snapToGrid/>
        <w:spacing w:line="592" w:lineRule="exact"/>
        <w:ind w:firstLine="645"/>
        <w:textAlignment w:val="auto"/>
        <w:rPr>
          <w:rFonts w:hint="eastAsia" w:ascii="仿宋_GB2312" w:eastAsia="仿宋_GB2312"/>
          <w:sz w:val="32"/>
          <w:szCs w:val="32"/>
        </w:rPr>
      </w:pPr>
      <w:r>
        <w:rPr>
          <w:rFonts w:hint="eastAsia" w:ascii="仿宋_GB2312" w:eastAsia="仿宋_GB2312"/>
          <w:sz w:val="32"/>
          <w:szCs w:val="32"/>
        </w:rPr>
        <w:t>（四）核准及评审。对提出认定申请的申报人，由旗人力资源和社会保障局按照认定标准条件对其进行核准；对提出评定申请的申报人，经旗人力资源和社会保障局对其材料审核后，由旗委组织部、旗人力资源和社会保障局组织（或委托有关部门组织）专家评委会，对各申报人选进行综合评审，并采取无记名投票方式表决，获得赞成票数超过半数以上的人选按得票多者当选的原则确定候选人。候选人名单报领导小组审批。</w:t>
      </w:r>
    </w:p>
    <w:p>
      <w:pPr>
        <w:keepNext w:val="0"/>
        <w:keepLines w:val="0"/>
        <w:pageBreakBefore w:val="0"/>
        <w:widowControl w:val="0"/>
        <w:kinsoku/>
        <w:wordWrap/>
        <w:overflowPunct/>
        <w:topLinePunct w:val="0"/>
        <w:autoSpaceDE/>
        <w:autoSpaceDN/>
        <w:bidi w:val="0"/>
        <w:adjustRightInd/>
        <w:snapToGrid/>
        <w:spacing w:line="592" w:lineRule="exact"/>
        <w:ind w:firstLine="645"/>
        <w:textAlignment w:val="auto"/>
        <w:rPr>
          <w:rFonts w:hint="eastAsia" w:ascii="仿宋_GB2312" w:eastAsia="仿宋_GB2312"/>
          <w:sz w:val="32"/>
          <w:szCs w:val="32"/>
          <w:highlight w:val="yellow"/>
        </w:rPr>
      </w:pPr>
      <w:r>
        <w:rPr>
          <w:rFonts w:hint="eastAsia" w:ascii="仿宋_GB2312" w:eastAsia="仿宋_GB2312"/>
          <w:sz w:val="32"/>
          <w:szCs w:val="32"/>
        </w:rPr>
        <w:t>（五）公示及发证。经核准符合认定条件的人选和经评定并审批同意的人选，在旗人民政府网站及申报人所在单位进行公示，公示期为5个工作日。经公示无异议的人选由旗委、旗人民政府颁发《达拉特英才证书》。</w:t>
      </w:r>
    </w:p>
    <w:p>
      <w:pPr>
        <w:keepNext w:val="0"/>
        <w:keepLines w:val="0"/>
        <w:pageBreakBefore w:val="0"/>
        <w:widowControl w:val="0"/>
        <w:kinsoku/>
        <w:wordWrap/>
        <w:overflowPunct/>
        <w:topLinePunct w:val="0"/>
        <w:autoSpaceDE/>
        <w:autoSpaceDN/>
        <w:bidi w:val="0"/>
        <w:adjustRightInd/>
        <w:snapToGrid/>
        <w:spacing w:line="592" w:lineRule="exact"/>
        <w:ind w:firstLine="645"/>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92" w:lineRule="exact"/>
        <w:jc w:val="center"/>
        <w:textAlignment w:val="auto"/>
        <w:rPr>
          <w:rFonts w:hint="eastAsia" w:ascii="黑体" w:hAnsi="黑体" w:eastAsia="黑体"/>
          <w:sz w:val="32"/>
        </w:rPr>
      </w:pPr>
      <w:r>
        <w:rPr>
          <w:rFonts w:hint="eastAsia" w:ascii="黑体" w:hAnsi="黑体" w:eastAsia="黑体"/>
          <w:sz w:val="32"/>
        </w:rPr>
        <w:t>第四章  奖  励</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黑体" w:hAnsi="黑体" w:eastAsia="黑体"/>
          <w:sz w:val="32"/>
        </w:rPr>
      </w:pP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highlight w:val="none"/>
        </w:rPr>
      </w:pPr>
      <w:r>
        <w:rPr>
          <w:rFonts w:hint="eastAsia" w:ascii="黑体" w:hAnsi="黑体" w:eastAsia="黑体" w:cs="黑体"/>
          <w:bCs/>
          <w:sz w:val="32"/>
          <w:szCs w:val="32"/>
          <w:highlight w:val="none"/>
        </w:rPr>
        <w:t>第十一条</w:t>
      </w:r>
      <w:r>
        <w:rPr>
          <w:rFonts w:hint="eastAsia" w:ascii="仿宋_GB2312" w:eastAsia="仿宋_GB2312"/>
          <w:b/>
          <w:sz w:val="32"/>
          <w:szCs w:val="32"/>
          <w:highlight w:val="none"/>
        </w:rPr>
        <w:t xml:space="preserve">  </w:t>
      </w:r>
      <w:r>
        <w:rPr>
          <w:rFonts w:hint="eastAsia" w:ascii="仿宋_GB2312" w:eastAsia="仿宋_GB2312"/>
          <w:sz w:val="32"/>
          <w:szCs w:val="32"/>
          <w:highlight w:val="none"/>
        </w:rPr>
        <w:t>对我旗评选的</w:t>
      </w:r>
      <w:r>
        <w:rPr>
          <w:rFonts w:hint="eastAsia" w:ascii="仿宋_GB2312" w:eastAsia="仿宋_GB2312"/>
          <w:color w:val="000000"/>
          <w:sz w:val="32"/>
          <w:szCs w:val="32"/>
          <w:highlight w:val="none"/>
        </w:rPr>
        <w:t>“达拉特杰出英才”“达拉特贡献突出英才”“达拉特青年优秀人才”分别给予10万元、8万元、5万元</w:t>
      </w:r>
      <w:r>
        <w:rPr>
          <w:rFonts w:hint="eastAsia" w:ascii="仿宋_GB2312" w:eastAsia="仿宋_GB2312"/>
          <w:sz w:val="32"/>
          <w:szCs w:val="32"/>
          <w:highlight w:val="none"/>
        </w:rPr>
        <w:t>一次性奖励。</w:t>
      </w:r>
    </w:p>
    <w:p>
      <w:pPr>
        <w:keepNext w:val="0"/>
        <w:keepLines w:val="0"/>
        <w:pageBreakBefore w:val="0"/>
        <w:widowControl w:val="0"/>
        <w:kinsoku/>
        <w:wordWrap/>
        <w:overflowPunct/>
        <w:topLinePunct w:val="0"/>
        <w:autoSpaceDE/>
        <w:autoSpaceDN/>
        <w:bidi w:val="0"/>
        <w:adjustRightInd/>
        <w:snapToGrid/>
        <w:spacing w:line="592" w:lineRule="exact"/>
        <w:ind w:firstLine="645"/>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92" w:lineRule="exact"/>
        <w:jc w:val="center"/>
        <w:textAlignment w:val="auto"/>
        <w:rPr>
          <w:rFonts w:hint="eastAsia" w:ascii="黑体" w:hAnsi="黑体" w:eastAsia="黑体"/>
          <w:sz w:val="32"/>
        </w:rPr>
      </w:pPr>
      <w:r>
        <w:rPr>
          <w:rFonts w:hint="eastAsia" w:ascii="黑体" w:hAnsi="黑体" w:eastAsia="黑体"/>
          <w:sz w:val="32"/>
        </w:rPr>
        <w:t>第五章  管理期与考核</w:t>
      </w:r>
    </w:p>
    <w:p>
      <w:pPr>
        <w:keepNext w:val="0"/>
        <w:keepLines w:val="0"/>
        <w:pageBreakBefore w:val="0"/>
        <w:widowControl w:val="0"/>
        <w:kinsoku/>
        <w:wordWrap/>
        <w:overflowPunct/>
        <w:topLinePunct w:val="0"/>
        <w:autoSpaceDE/>
        <w:autoSpaceDN/>
        <w:bidi w:val="0"/>
        <w:adjustRightInd/>
        <w:snapToGrid/>
        <w:spacing w:line="592" w:lineRule="exact"/>
        <w:jc w:val="center"/>
        <w:textAlignment w:val="auto"/>
        <w:rPr>
          <w:rFonts w:hint="eastAsia" w:ascii="黑体" w:hAnsi="黑体" w:eastAsia="黑体"/>
          <w:sz w:val="32"/>
          <w:highlight w:val="yellow"/>
        </w:rPr>
      </w:pPr>
    </w:p>
    <w:p>
      <w:pPr>
        <w:keepNext w:val="0"/>
        <w:keepLines w:val="0"/>
        <w:pageBreakBefore w:val="0"/>
        <w:widowControl w:val="0"/>
        <w:kinsoku/>
        <w:wordWrap/>
        <w:overflowPunct/>
        <w:topLinePunct w:val="0"/>
        <w:autoSpaceDE/>
        <w:autoSpaceDN/>
        <w:bidi w:val="0"/>
        <w:adjustRightInd/>
        <w:snapToGrid/>
        <w:spacing w:line="592" w:lineRule="exact"/>
        <w:ind w:firstLine="660"/>
        <w:textAlignment w:val="auto"/>
        <w:rPr>
          <w:rFonts w:hint="eastAsia" w:ascii="仿宋_GB2312" w:eastAsia="仿宋_GB2312"/>
          <w:sz w:val="32"/>
          <w:szCs w:val="32"/>
        </w:rPr>
      </w:pPr>
      <w:r>
        <w:rPr>
          <w:rFonts w:hint="eastAsia" w:ascii="黑体" w:hAnsi="黑体" w:eastAsia="黑体" w:cs="黑体"/>
          <w:bCs/>
          <w:sz w:val="32"/>
          <w:szCs w:val="32"/>
        </w:rPr>
        <w:t>第十二条</w:t>
      </w:r>
      <w:r>
        <w:rPr>
          <w:rFonts w:hint="eastAsia" w:ascii="仿宋_GB2312" w:eastAsia="仿宋_GB2312"/>
          <w:b/>
          <w:sz w:val="32"/>
          <w:szCs w:val="32"/>
        </w:rPr>
        <w:t xml:space="preserve"> </w:t>
      </w:r>
      <w:r>
        <w:rPr>
          <w:rFonts w:hint="eastAsia" w:ascii="仿宋_GB2312" w:eastAsia="仿宋_GB2312"/>
          <w:sz w:val="32"/>
          <w:szCs w:val="32"/>
        </w:rPr>
        <w:t>“达拉特英才”列入旗人才领导小组办公室管理，管理期为5年，管理期内享受配套政策文件所规定的相关待遇。</w:t>
      </w:r>
    </w:p>
    <w:p>
      <w:pPr>
        <w:keepNext w:val="0"/>
        <w:keepLines w:val="0"/>
        <w:pageBreakBefore w:val="0"/>
        <w:widowControl w:val="0"/>
        <w:kinsoku/>
        <w:wordWrap/>
        <w:overflowPunct/>
        <w:topLinePunct w:val="0"/>
        <w:autoSpaceDE/>
        <w:autoSpaceDN/>
        <w:bidi w:val="0"/>
        <w:adjustRightInd/>
        <w:snapToGrid/>
        <w:spacing w:line="592" w:lineRule="exact"/>
        <w:ind w:firstLine="660"/>
        <w:textAlignment w:val="auto"/>
        <w:rPr>
          <w:rFonts w:hint="eastAsia" w:ascii="仿宋_GB2312" w:eastAsia="仿宋_GB2312"/>
          <w:sz w:val="32"/>
          <w:szCs w:val="32"/>
        </w:rPr>
      </w:pPr>
      <w:r>
        <w:rPr>
          <w:rFonts w:hint="eastAsia" w:ascii="黑体" w:hAnsi="黑体" w:eastAsia="黑体" w:cs="黑体"/>
          <w:bCs/>
          <w:sz w:val="32"/>
          <w:szCs w:val="32"/>
        </w:rPr>
        <w:t>第十三条</w:t>
      </w:r>
      <w:r>
        <w:rPr>
          <w:rFonts w:hint="eastAsia" w:ascii="仿宋_GB2312" w:eastAsia="仿宋_GB2312"/>
          <w:b/>
          <w:sz w:val="32"/>
          <w:szCs w:val="32"/>
        </w:rPr>
        <w:t xml:space="preserve"> </w:t>
      </w:r>
      <w:r>
        <w:rPr>
          <w:rFonts w:hint="eastAsia" w:ascii="仿宋_GB2312" w:eastAsia="仿宋_GB2312"/>
          <w:sz w:val="32"/>
          <w:szCs w:val="32"/>
        </w:rPr>
        <w:t>“达拉特英才”</w:t>
      </w:r>
      <w:r>
        <w:rPr>
          <w:rFonts w:hint="eastAsia" w:ascii="仿宋_GB2312" w:eastAsia="仿宋_GB2312"/>
          <w:kern w:val="0"/>
          <w:sz w:val="32"/>
          <w:szCs w:val="32"/>
        </w:rPr>
        <w:t>管理期满后，不再享受相关待遇（另有文件规定的按文件执行），符合条件的</w:t>
      </w:r>
      <w:r>
        <w:rPr>
          <w:rFonts w:hint="eastAsia" w:ascii="仿宋_GB2312" w:eastAsia="仿宋_GB2312"/>
          <w:sz w:val="32"/>
          <w:szCs w:val="32"/>
        </w:rPr>
        <w:t>可再次申报“达拉特英才”认定或评定。再次申报时，以最近一个管理期内及期满之后担任的职务、取得的业绩成果和荣誉称号等为申报依据。</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rPr>
      </w:pPr>
      <w:r>
        <w:rPr>
          <w:rFonts w:hint="eastAsia" w:ascii="黑体" w:hAnsi="黑体" w:eastAsia="黑体" w:cs="黑体"/>
          <w:bCs/>
          <w:sz w:val="32"/>
          <w:szCs w:val="32"/>
        </w:rPr>
        <w:t>第十四条</w:t>
      </w:r>
      <w:r>
        <w:rPr>
          <w:rFonts w:hint="eastAsia" w:ascii="仿宋_GB2312" w:eastAsia="仿宋_GB2312"/>
          <w:b/>
          <w:sz w:val="32"/>
          <w:szCs w:val="32"/>
        </w:rPr>
        <w:t xml:space="preserve"> </w:t>
      </w:r>
      <w:r>
        <w:rPr>
          <w:rFonts w:hint="eastAsia" w:ascii="仿宋_GB2312" w:eastAsia="仿宋_GB2312"/>
          <w:sz w:val="32"/>
          <w:szCs w:val="32"/>
        </w:rPr>
        <w:t>“达拉特英才”所在单位及主管部门要根据其专长妥善安排工作，保证其业务工作时间，从经费、资料、设备、人员等方面提供支持和保障，并视工作需要酌情配备助手。“达拉特英才”的工作岗位、专业技术职务聘任和奖惩、健康状况等情况发生变化，或办理了退休手续，所在单位及主管部门要及时向旗人才领导小组办公室报告。</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rPr>
      </w:pPr>
      <w:r>
        <w:rPr>
          <w:rFonts w:hint="eastAsia" w:ascii="黑体" w:hAnsi="黑体" w:eastAsia="黑体" w:cs="黑体"/>
          <w:bCs/>
          <w:sz w:val="32"/>
          <w:szCs w:val="32"/>
        </w:rPr>
        <w:t>第十五条</w:t>
      </w:r>
      <w:r>
        <w:rPr>
          <w:rFonts w:hint="eastAsia" w:ascii="仿宋_GB2312" w:eastAsia="仿宋_GB2312"/>
          <w:b/>
          <w:sz w:val="32"/>
          <w:szCs w:val="32"/>
        </w:rPr>
        <w:t xml:space="preserve">  </w:t>
      </w:r>
      <w:r>
        <w:rPr>
          <w:rFonts w:hint="eastAsia" w:ascii="仿宋_GB2312" w:eastAsia="仿宋_GB2312"/>
          <w:sz w:val="32"/>
          <w:szCs w:val="32"/>
        </w:rPr>
        <w:t>按照“谁推荐、谁考核”的原则，“达拉特英才”所在单位或旗人才工作领导小组办公室每年对其进行一次考核，考核重点是工作业绩、业务能力、团队建设、人才培养和创新能力，并向旗人才工作领导小组办公室书面报告考核总体情况。</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rPr>
      </w:pPr>
      <w:r>
        <w:rPr>
          <w:rFonts w:hint="eastAsia" w:ascii="黑体" w:hAnsi="黑体" w:eastAsia="黑体" w:cs="黑体"/>
          <w:bCs/>
          <w:sz w:val="32"/>
          <w:szCs w:val="32"/>
        </w:rPr>
        <w:t>第十六条</w:t>
      </w:r>
      <w:r>
        <w:rPr>
          <w:rFonts w:hint="eastAsia" w:ascii="仿宋_GB2312" w:eastAsia="仿宋_GB2312"/>
          <w:b/>
          <w:sz w:val="32"/>
          <w:szCs w:val="32"/>
        </w:rPr>
        <w:t xml:space="preserve"> </w:t>
      </w:r>
      <w:r>
        <w:rPr>
          <w:rFonts w:hint="eastAsia" w:ascii="仿宋_GB2312" w:eastAsia="仿宋_GB2312"/>
          <w:sz w:val="32"/>
          <w:szCs w:val="32"/>
        </w:rPr>
        <w:t xml:space="preserve"> 有下列情形之一者，应调整出管理名单，转入联系名单，其荣誉称号可予保留，但不再享受相关物质待遇。重新符合相关认定、评定条件后，在其重新申报时可予优先安排。</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（一）因工作调整、变动、调离我旗等原因，不再符合本办法第七、第八条所列“达拉特英才”认定、评定范围的相关条件。</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（二）管理期满，经考核在管理期内没有取得新的业绩成果。</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（三）办理了退休、辞职手续。</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rPr>
      </w:pPr>
      <w:r>
        <w:rPr>
          <w:rFonts w:hint="eastAsia" w:ascii="黑体" w:hAnsi="黑体" w:eastAsia="黑体" w:cs="黑体"/>
          <w:bCs/>
          <w:sz w:val="32"/>
          <w:szCs w:val="32"/>
        </w:rPr>
        <w:t xml:space="preserve">第十七条 </w:t>
      </w:r>
      <w:r>
        <w:rPr>
          <w:rFonts w:hint="eastAsia" w:ascii="仿宋_GB2312" w:eastAsia="仿宋_GB2312"/>
          <w:sz w:val="32"/>
          <w:szCs w:val="32"/>
        </w:rPr>
        <w:t xml:space="preserve"> 有下列情形之一者，应当撤销资格和荣誉称号，收回证书，并按有关规定取消或追回其所享受的物质待遇： </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（一）学术、业绩上弄虚作假被有关部门查处的；</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（二）提供虚假材料骗取“达拉特英才”资格的；</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（三）管理期内因违法违纪受到相关处罚、处分的；</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（四）管理期内违反相关规定出国或出境逾期不归的。</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因前款第（一）（二）项情形撤销资格的，不再受理其“达拉特英才”认定、评定申请。</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92" w:lineRule="exact"/>
        <w:jc w:val="center"/>
        <w:textAlignment w:val="auto"/>
        <w:rPr>
          <w:rFonts w:hint="eastAsia" w:ascii="黑体" w:hAnsi="黑体" w:eastAsia="黑体"/>
          <w:sz w:val="32"/>
        </w:rPr>
      </w:pPr>
      <w:r>
        <w:rPr>
          <w:rFonts w:hint="eastAsia" w:ascii="黑体" w:hAnsi="黑体" w:eastAsia="黑体"/>
          <w:sz w:val="32"/>
        </w:rPr>
        <w:t>第六章</w:t>
      </w:r>
      <w:r>
        <w:rPr>
          <w:rFonts w:hint="eastAsia" w:ascii="黑体" w:hAnsi="黑体" w:eastAsia="黑体"/>
          <w:sz w:val="32"/>
          <w:lang w:val="en-US" w:eastAsia="zh-CN"/>
        </w:rPr>
        <w:t xml:space="preserve">  </w:t>
      </w:r>
      <w:r>
        <w:rPr>
          <w:rFonts w:hint="eastAsia" w:ascii="黑体" w:hAnsi="黑体" w:eastAsia="黑体"/>
          <w:sz w:val="32"/>
        </w:rPr>
        <w:t>附  则</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rPr>
      </w:pPr>
      <w:r>
        <w:rPr>
          <w:rFonts w:hint="eastAsia" w:ascii="黑体" w:hAnsi="黑体" w:eastAsia="黑体" w:cs="黑体"/>
          <w:bCs/>
          <w:sz w:val="32"/>
          <w:szCs w:val="32"/>
          <w:lang w:eastAsia="zh-CN"/>
        </w:rPr>
        <w:t>第十八条</w:t>
      </w:r>
      <w:r>
        <w:rPr>
          <w:rFonts w:hint="eastAsia" w:ascii="仿宋_GB2312" w:eastAsia="仿宋_GB2312"/>
          <w:sz w:val="32"/>
          <w:szCs w:val="32"/>
          <w:lang w:val="en-US" w:eastAsia="zh-CN"/>
        </w:rPr>
        <w:t xml:space="preserve">  </w:t>
      </w:r>
      <w:r>
        <w:rPr>
          <w:rFonts w:hint="eastAsia" w:ascii="仿宋_GB2312" w:eastAsia="仿宋_GB2312"/>
          <w:sz w:val="32"/>
          <w:szCs w:val="32"/>
        </w:rPr>
        <w:t>本办法自印发之日起实施，由旗人才工作领导小组办公室负责解释。</w:t>
      </w:r>
    </w:p>
    <w:p>
      <w:pPr>
        <w:keepNext w:val="0"/>
        <w:keepLines w:val="0"/>
        <w:pageBreakBefore w:val="0"/>
        <w:widowControl w:val="0"/>
        <w:numPr>
          <w:ilvl w:val="0"/>
          <w:numId w:val="0"/>
        </w:numPr>
        <w:kinsoku/>
        <w:wordWrap/>
        <w:overflowPunct/>
        <w:topLinePunct w:val="0"/>
        <w:autoSpaceDE/>
        <w:autoSpaceDN/>
        <w:bidi w:val="0"/>
        <w:adjustRightInd/>
        <w:snapToGrid/>
        <w:spacing w:line="592" w:lineRule="exact"/>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方正小标宋简体" w:eastAsia="方正小标宋简体"/>
          <w:b w:val="0"/>
          <w:sz w:val="44"/>
          <w:szCs w:val="44"/>
        </w:rPr>
      </w:pPr>
      <w:r>
        <w:rPr>
          <w:rFonts w:hint="eastAsia" w:ascii="仿宋_GB2312" w:eastAsia="仿宋_GB2312"/>
          <w:sz w:val="32"/>
          <w:szCs w:val="32"/>
        </w:rPr>
        <w:t>附件：达拉特英才认定和评定标准（暂行）</w:t>
      </w:r>
    </w:p>
    <w:p>
      <w:pPr>
        <w:pStyle w:val="2"/>
        <w:keepNext/>
        <w:keepLines/>
        <w:pageBreakBefore w:val="0"/>
        <w:widowControl w:val="0"/>
        <w:kinsoku/>
        <w:wordWrap/>
        <w:overflowPunct/>
        <w:topLinePunct w:val="0"/>
        <w:autoSpaceDE/>
        <w:autoSpaceDN/>
        <w:bidi w:val="0"/>
        <w:adjustRightInd/>
        <w:snapToGrid/>
        <w:spacing w:before="0" w:after="0" w:line="592" w:lineRule="exact"/>
        <w:jc w:val="center"/>
        <w:textAlignment w:val="auto"/>
        <w:rPr>
          <w:rFonts w:hint="eastAsia" w:ascii="方正小标宋简体" w:eastAsia="方正小标宋简体"/>
          <w:b w:val="0"/>
          <w:sz w:val="44"/>
          <w:szCs w:val="44"/>
        </w:rPr>
      </w:pPr>
    </w:p>
    <w:p>
      <w:pPr>
        <w:pStyle w:val="2"/>
        <w:pageBreakBefore w:val="0"/>
        <w:widowControl w:val="0"/>
        <w:kinsoku/>
        <w:wordWrap/>
        <w:overflowPunct/>
        <w:topLinePunct w:val="0"/>
        <w:autoSpaceDE/>
        <w:autoSpaceDN/>
        <w:bidi w:val="0"/>
        <w:adjustRightInd/>
        <w:snapToGrid/>
        <w:spacing w:before="0" w:after="0" w:line="592" w:lineRule="exact"/>
        <w:jc w:val="center"/>
        <w:textAlignment w:val="auto"/>
        <w:rPr>
          <w:rFonts w:hint="eastAsia"/>
        </w:rPr>
      </w:pPr>
      <w:r>
        <w:rPr>
          <w:rFonts w:hint="eastAsia" w:ascii="方正小标宋简体" w:eastAsia="方正小标宋简体"/>
          <w:b w:val="0"/>
          <w:sz w:val="44"/>
          <w:szCs w:val="44"/>
        </w:rPr>
        <w:t>达拉特英才认定和评定标准（暂行）</w:t>
      </w:r>
    </w:p>
    <w:p>
      <w:pPr>
        <w:pageBreakBefore w:val="0"/>
        <w:widowControl w:val="0"/>
        <w:kinsoku/>
        <w:wordWrap/>
        <w:overflowPunct/>
        <w:topLinePunct w:val="0"/>
        <w:autoSpaceDE/>
        <w:autoSpaceDN/>
        <w:bidi w:val="0"/>
        <w:adjustRightInd/>
        <w:snapToGrid/>
        <w:spacing w:line="592" w:lineRule="exact"/>
        <w:jc w:val="center"/>
        <w:textAlignment w:val="auto"/>
        <w:rPr>
          <w:rFonts w:hint="eastAsia" w:ascii="黑体" w:eastAsia="黑体"/>
          <w:sz w:val="32"/>
          <w:szCs w:val="32"/>
        </w:rPr>
      </w:pPr>
    </w:p>
    <w:p>
      <w:pPr>
        <w:pageBreakBefore w:val="0"/>
        <w:widowControl w:val="0"/>
        <w:kinsoku/>
        <w:wordWrap/>
        <w:overflowPunct/>
        <w:topLinePunct w:val="0"/>
        <w:autoSpaceDE/>
        <w:autoSpaceDN/>
        <w:bidi w:val="0"/>
        <w:adjustRightInd/>
        <w:snapToGrid/>
        <w:spacing w:line="592" w:lineRule="exact"/>
        <w:jc w:val="center"/>
        <w:textAlignment w:val="auto"/>
        <w:rPr>
          <w:rFonts w:hint="eastAsia" w:ascii="黑体" w:eastAsia="黑体"/>
          <w:sz w:val="32"/>
          <w:szCs w:val="32"/>
        </w:rPr>
      </w:pPr>
      <w:r>
        <w:rPr>
          <w:rFonts w:hint="eastAsia" w:ascii="黑体" w:eastAsia="黑体"/>
          <w:sz w:val="32"/>
          <w:szCs w:val="32"/>
        </w:rPr>
        <w:t>第一章  达拉特英才认定标准</w:t>
      </w:r>
    </w:p>
    <w:p>
      <w:pPr>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eastAsia="仿宋_GB2312"/>
          <w:sz w:val="32"/>
          <w:szCs w:val="32"/>
        </w:rPr>
      </w:pPr>
    </w:p>
    <w:p>
      <w:pPr>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一、“达拉特杰出英才”认定标准</w:t>
      </w:r>
    </w:p>
    <w:p>
      <w:pPr>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（一）管理期内的内蒙古自治区“草原英才”；鄂尔多斯市“天骄英才”“草原英才”。</w:t>
      </w:r>
    </w:p>
    <w:p>
      <w:pPr>
        <w:pageBreakBefore w:val="0"/>
        <w:widowControl w:val="0"/>
        <w:kinsoku/>
        <w:wordWrap/>
        <w:overflowPunct/>
        <w:topLinePunct w:val="0"/>
        <w:autoSpaceDE/>
        <w:autoSpaceDN/>
        <w:bidi w:val="0"/>
        <w:adjustRightInd/>
        <w:snapToGrid/>
        <w:spacing w:line="592"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（二）近五年，获得以下奖项者：</w:t>
      </w:r>
    </w:p>
    <w:p>
      <w:pPr>
        <w:pageBreakBefore w:val="0"/>
        <w:widowControl w:val="0"/>
        <w:kinsoku/>
        <w:wordWrap/>
        <w:overflowPunct/>
        <w:topLinePunct w:val="0"/>
        <w:autoSpaceDE/>
        <w:autoSpaceDN/>
        <w:bidi w:val="0"/>
        <w:adjustRightInd/>
        <w:snapToGrid/>
        <w:spacing w:line="592"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1.省（自治区）、部级科学技术奖三等奖前3名；</w:t>
      </w:r>
    </w:p>
    <w:p>
      <w:pPr>
        <w:pageBreakBefore w:val="0"/>
        <w:widowControl w:val="0"/>
        <w:kinsoku/>
        <w:wordWrap/>
        <w:overflowPunct/>
        <w:topLinePunct w:val="0"/>
        <w:autoSpaceDE/>
        <w:autoSpaceDN/>
        <w:bidi w:val="0"/>
        <w:adjustRightInd/>
        <w:snapToGrid/>
        <w:spacing w:line="592"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2.省（自治区）、部级自然科学奖三等奖前3名；</w:t>
      </w:r>
    </w:p>
    <w:p>
      <w:pPr>
        <w:pageBreakBefore w:val="0"/>
        <w:widowControl w:val="0"/>
        <w:kinsoku/>
        <w:wordWrap/>
        <w:overflowPunct/>
        <w:topLinePunct w:val="0"/>
        <w:autoSpaceDE/>
        <w:autoSpaceDN/>
        <w:bidi w:val="0"/>
        <w:adjustRightInd/>
        <w:snapToGrid/>
        <w:spacing w:line="592"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3.省（自治区）、部级技术发明奖三等奖前3名；</w:t>
      </w:r>
    </w:p>
    <w:p>
      <w:pPr>
        <w:pageBreakBefore w:val="0"/>
        <w:widowControl w:val="0"/>
        <w:kinsoku/>
        <w:wordWrap/>
        <w:overflowPunct/>
        <w:topLinePunct w:val="0"/>
        <w:autoSpaceDE/>
        <w:autoSpaceDN/>
        <w:bidi w:val="0"/>
        <w:adjustRightInd/>
        <w:snapToGrid/>
        <w:spacing w:line="592"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4.省（自治区）、部级科学技术进步奖三等奖前3名；</w:t>
      </w:r>
    </w:p>
    <w:p>
      <w:pPr>
        <w:pageBreakBefore w:val="0"/>
        <w:widowControl w:val="0"/>
        <w:kinsoku/>
        <w:wordWrap/>
        <w:overflowPunct/>
        <w:topLinePunct w:val="0"/>
        <w:autoSpaceDE/>
        <w:autoSpaceDN/>
        <w:bidi w:val="0"/>
        <w:adjustRightInd/>
        <w:snapToGrid/>
        <w:spacing w:line="592"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5.地市（厅）级科学技术奖一等奖；</w:t>
      </w:r>
    </w:p>
    <w:p>
      <w:pPr>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6.市级深入生产第一线突出贡献专家；</w:t>
      </w:r>
    </w:p>
    <w:p>
      <w:pPr>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7.省（自治区）、部级优秀教学成果二等奖；</w:t>
      </w:r>
    </w:p>
    <w:p>
      <w:pPr>
        <w:pageBreakBefore w:val="0"/>
        <w:widowControl w:val="0"/>
        <w:kinsoku/>
        <w:wordWrap/>
        <w:overflowPunct/>
        <w:topLinePunct w:val="0"/>
        <w:autoSpaceDE/>
        <w:autoSpaceDN/>
        <w:bidi w:val="0"/>
        <w:adjustRightInd/>
        <w:snapToGrid/>
        <w:spacing w:line="592"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8.国家级优秀教学成果三等奖前3名；</w:t>
      </w:r>
    </w:p>
    <w:p>
      <w:pPr>
        <w:pageBreakBefore w:val="0"/>
        <w:widowControl w:val="0"/>
        <w:kinsoku/>
        <w:wordWrap/>
        <w:overflowPunct/>
        <w:topLinePunct w:val="0"/>
        <w:autoSpaceDE/>
        <w:autoSpaceDN/>
        <w:bidi w:val="0"/>
        <w:adjustRightInd/>
        <w:snapToGrid/>
        <w:spacing w:line="592"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9.省（自治区）、部级哲学社会科学优秀成果三等奖前3名；</w:t>
      </w:r>
    </w:p>
    <w:p>
      <w:pPr>
        <w:pageBreakBefore w:val="0"/>
        <w:widowControl w:val="0"/>
        <w:kinsoku/>
        <w:wordWrap/>
        <w:overflowPunct/>
        <w:topLinePunct w:val="0"/>
        <w:autoSpaceDE/>
        <w:autoSpaceDN/>
        <w:bidi w:val="0"/>
        <w:adjustRightInd/>
        <w:snapToGrid/>
        <w:spacing w:line="592" w:lineRule="exact"/>
        <w:ind w:firstLine="645"/>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10.省（自治区）、部级精神文明建设“五个一工程”奖单项奖（须为个人获得）；</w:t>
      </w:r>
    </w:p>
    <w:p>
      <w:pPr>
        <w:pageBreakBefore w:val="0"/>
        <w:widowControl w:val="0"/>
        <w:kinsoku/>
        <w:wordWrap/>
        <w:overflowPunct/>
        <w:topLinePunct w:val="0"/>
        <w:autoSpaceDE/>
        <w:autoSpaceDN/>
        <w:bidi w:val="0"/>
        <w:adjustRightInd/>
        <w:snapToGrid/>
        <w:spacing w:line="592"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11.文联奖（须为个人获得）（子项12个：中国戏剧奖、大众电影百花奖、电影金鸡奖、音乐金钟奖、全国美术展览奖、曲艺牡丹奖、书法兰亭奖、杂技金菊奖、摄影金像奖、民间文艺山花奖、电视金鹰奖、舞蹈荷花奖）；</w:t>
      </w:r>
    </w:p>
    <w:p>
      <w:pPr>
        <w:pageBreakBefore w:val="0"/>
        <w:widowControl w:val="0"/>
        <w:kinsoku/>
        <w:wordWrap/>
        <w:overflowPunct/>
        <w:topLinePunct w:val="0"/>
        <w:autoSpaceDE/>
        <w:autoSpaceDN/>
        <w:bidi w:val="0"/>
        <w:adjustRightInd/>
        <w:snapToGrid/>
        <w:spacing w:line="592" w:lineRule="exact"/>
        <w:ind w:firstLine="645"/>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12.省部级专利奖优秀奖（须为专利发明人及设计人）;</w:t>
      </w:r>
    </w:p>
    <w:p>
      <w:pPr>
        <w:pageBreakBefore w:val="0"/>
        <w:widowControl w:val="0"/>
        <w:kinsoku/>
        <w:wordWrap/>
        <w:overflowPunct/>
        <w:topLinePunct w:val="0"/>
        <w:autoSpaceDE/>
        <w:autoSpaceDN/>
        <w:bidi w:val="0"/>
        <w:adjustRightInd/>
        <w:snapToGrid/>
        <w:spacing w:line="592" w:lineRule="exact"/>
        <w:ind w:firstLine="645"/>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13.省部级文化艺术奖（包括子项）；</w:t>
      </w:r>
    </w:p>
    <w:p>
      <w:pPr>
        <w:pageBreakBefore w:val="0"/>
        <w:widowControl w:val="0"/>
        <w:kinsoku/>
        <w:wordWrap/>
        <w:overflowPunct/>
        <w:topLinePunct w:val="0"/>
        <w:autoSpaceDE/>
        <w:autoSpaceDN/>
        <w:bidi w:val="0"/>
        <w:adjustRightInd/>
        <w:snapToGrid/>
        <w:spacing w:line="592" w:lineRule="exact"/>
        <w:ind w:firstLine="645"/>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14.国家文物局设立的文物科学技术进步奖、文物保护特别奖、郑振铎-王冶秋文物保护奖（须为个人获得）；</w:t>
      </w:r>
    </w:p>
    <w:p>
      <w:pPr>
        <w:pageBreakBefore w:val="0"/>
        <w:widowControl w:val="0"/>
        <w:kinsoku/>
        <w:wordWrap/>
        <w:overflowPunct/>
        <w:topLinePunct w:val="0"/>
        <w:autoSpaceDE/>
        <w:autoSpaceDN/>
        <w:bidi w:val="0"/>
        <w:adjustRightInd/>
        <w:snapToGrid/>
        <w:spacing w:line="592" w:lineRule="exact"/>
        <w:ind w:firstLine="645"/>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15.内蒙古自治区医学会科学技术奖一等奖主要完成人。</w:t>
      </w:r>
    </w:p>
    <w:p>
      <w:pPr>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color w:val="000000"/>
          <w:sz w:val="32"/>
          <w:szCs w:val="32"/>
        </w:rPr>
        <w:t>（三）近五年，担任以下职务者：</w:t>
      </w:r>
    </w:p>
    <w:p>
      <w:pPr>
        <w:pageBreakBefore w:val="0"/>
        <w:widowControl w:val="0"/>
        <w:kinsoku/>
        <w:wordWrap/>
        <w:overflowPunct/>
        <w:topLinePunct w:val="0"/>
        <w:autoSpaceDE/>
        <w:autoSpaceDN/>
        <w:bidi w:val="0"/>
        <w:adjustRightInd/>
        <w:snapToGrid/>
        <w:spacing w:line="592" w:lineRule="exact"/>
        <w:ind w:firstLine="645"/>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1.国家“863计划”或“973计划”科研人员；</w:t>
      </w:r>
    </w:p>
    <w:p>
      <w:pPr>
        <w:pageBreakBefore w:val="0"/>
        <w:widowControl w:val="0"/>
        <w:kinsoku/>
        <w:wordWrap/>
        <w:overflowPunct/>
        <w:topLinePunct w:val="0"/>
        <w:autoSpaceDE/>
        <w:autoSpaceDN/>
        <w:bidi w:val="0"/>
        <w:adjustRightInd/>
        <w:snapToGrid/>
        <w:spacing w:line="592" w:lineRule="exact"/>
        <w:ind w:firstLine="645"/>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2.省部重点实验室的项目负责人、主要科研人员；</w:t>
      </w:r>
    </w:p>
    <w:p>
      <w:pPr>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3.地市级重点实验室主任； </w:t>
      </w:r>
    </w:p>
    <w:p>
      <w:pPr>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4.省（自治区）部级技能大师工作室领衔人；省（自治区）部级高技能人才创新工作室领衔人；市首席技师；</w:t>
      </w:r>
    </w:p>
    <w:p>
      <w:pPr>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近五年，获得全国优秀班主任荣誉称号，教育部“青年骨干教师培养计划”人选、“全国教育系统先进工作者”“全国优秀教师”“全国优秀教育工作者”“全国教书育人楷模”“全国师德楷模”“全国最美教师”等荣誉称号之一。</w:t>
      </w:r>
    </w:p>
    <w:p>
      <w:pPr>
        <w:pageBreakBefore w:val="0"/>
        <w:widowControl w:val="0"/>
        <w:kinsoku/>
        <w:wordWrap/>
        <w:overflowPunct/>
        <w:topLinePunct w:val="0"/>
        <w:autoSpaceDE/>
        <w:autoSpaceDN/>
        <w:bidi w:val="0"/>
        <w:adjustRightInd/>
        <w:snapToGrid/>
        <w:spacing w:line="592" w:lineRule="exact"/>
        <w:ind w:firstLine="645"/>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（五）近五年，获得省级技术能手或者自治区人社部门组织的职业技能竞赛前3名的高技能人才。</w:t>
      </w:r>
    </w:p>
    <w:p>
      <w:pPr>
        <w:pageBreakBefore w:val="0"/>
        <w:widowControl w:val="0"/>
        <w:kinsoku/>
        <w:wordWrap/>
        <w:overflowPunct/>
        <w:topLinePunct w:val="0"/>
        <w:autoSpaceDE/>
        <w:autoSpaceDN/>
        <w:bidi w:val="0"/>
        <w:adjustRightInd/>
        <w:snapToGrid/>
        <w:spacing w:line="592" w:lineRule="exact"/>
        <w:ind w:firstLine="645"/>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（六）相当于上述层次的其他人才。</w:t>
      </w:r>
    </w:p>
    <w:p>
      <w:pPr>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二、“达拉特贡献突出英才”认定标准</w:t>
      </w:r>
    </w:p>
    <w:p>
      <w:pPr>
        <w:pageBreakBefore w:val="0"/>
        <w:widowControl w:val="0"/>
        <w:kinsoku/>
        <w:wordWrap/>
        <w:overflowPunct/>
        <w:topLinePunct w:val="0"/>
        <w:autoSpaceDE/>
        <w:autoSpaceDN/>
        <w:bidi w:val="0"/>
        <w:adjustRightInd/>
        <w:snapToGrid/>
        <w:spacing w:line="592"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（一）享受鄂尔多斯市特殊津贴人员，市级有突出贡献的中青年专家，市级以上优秀专家。</w:t>
      </w:r>
    </w:p>
    <w:p>
      <w:pPr>
        <w:pageBreakBefore w:val="0"/>
        <w:widowControl w:val="0"/>
        <w:kinsoku/>
        <w:wordWrap/>
        <w:overflowPunct/>
        <w:topLinePunct w:val="0"/>
        <w:autoSpaceDE/>
        <w:autoSpaceDN/>
        <w:bidi w:val="0"/>
        <w:adjustRightInd/>
        <w:snapToGrid/>
        <w:spacing w:line="592"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（二）近五年，获得以下奖项者：</w:t>
      </w:r>
    </w:p>
    <w:p>
      <w:pPr>
        <w:pageBreakBefore w:val="0"/>
        <w:widowControl w:val="0"/>
        <w:kinsoku/>
        <w:wordWrap/>
        <w:overflowPunct/>
        <w:topLinePunct w:val="0"/>
        <w:autoSpaceDE/>
        <w:autoSpaceDN/>
        <w:bidi w:val="0"/>
        <w:adjustRightInd/>
        <w:snapToGrid/>
        <w:spacing w:line="592"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1.省（自治区）、部级科学技术奖三等奖；</w:t>
      </w:r>
    </w:p>
    <w:p>
      <w:pPr>
        <w:keepNext w:val="0"/>
        <w:keepLines w:val="0"/>
        <w:pageBreakBefore w:val="0"/>
        <w:widowControl w:val="0"/>
        <w:kinsoku/>
        <w:wordWrap/>
        <w:overflowPunct/>
        <w:topLinePunct w:val="0"/>
        <w:autoSpaceDE/>
        <w:autoSpaceDN/>
        <w:bidi w:val="0"/>
        <w:adjustRightInd/>
        <w:snapToGrid/>
        <w:spacing w:line="592"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2.省（自治区）、部级自然科学奖三等奖；</w:t>
      </w:r>
    </w:p>
    <w:p>
      <w:pPr>
        <w:keepNext w:val="0"/>
        <w:keepLines w:val="0"/>
        <w:pageBreakBefore w:val="0"/>
        <w:widowControl w:val="0"/>
        <w:kinsoku/>
        <w:wordWrap/>
        <w:overflowPunct/>
        <w:topLinePunct w:val="0"/>
        <w:autoSpaceDE/>
        <w:autoSpaceDN/>
        <w:bidi w:val="0"/>
        <w:adjustRightInd/>
        <w:snapToGrid/>
        <w:spacing w:line="592"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3.省（自治区）、部级技术发明奖三等奖；</w:t>
      </w:r>
    </w:p>
    <w:p>
      <w:pPr>
        <w:keepNext w:val="0"/>
        <w:keepLines w:val="0"/>
        <w:pageBreakBefore w:val="0"/>
        <w:widowControl w:val="0"/>
        <w:kinsoku/>
        <w:wordWrap/>
        <w:overflowPunct/>
        <w:topLinePunct w:val="0"/>
        <w:autoSpaceDE/>
        <w:autoSpaceDN/>
        <w:bidi w:val="0"/>
        <w:adjustRightInd/>
        <w:snapToGrid/>
        <w:spacing w:line="592"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4.省（自治区）、部级科学技术进步奖三等奖；</w:t>
      </w:r>
    </w:p>
    <w:p>
      <w:pPr>
        <w:keepNext w:val="0"/>
        <w:keepLines w:val="0"/>
        <w:pageBreakBefore w:val="0"/>
        <w:widowControl w:val="0"/>
        <w:kinsoku/>
        <w:wordWrap/>
        <w:overflowPunct/>
        <w:topLinePunct w:val="0"/>
        <w:autoSpaceDE/>
        <w:autoSpaceDN/>
        <w:bidi w:val="0"/>
        <w:adjustRightInd/>
        <w:snapToGrid/>
        <w:spacing w:line="592"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5.地市（厅）级科学技术奖三等奖；</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6.省（自治区）、部级优秀教学成果三等奖；</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7.内蒙古自治区医学会科学技术奖二等奖主要完成人；</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8.全国专业社会工作领军人才。</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color w:val="000000"/>
          <w:sz w:val="32"/>
          <w:szCs w:val="32"/>
        </w:rPr>
        <w:t>（三）近五年，担任以下职务者：</w:t>
      </w:r>
    </w:p>
    <w:p>
      <w:pPr>
        <w:keepNext w:val="0"/>
        <w:keepLines w:val="0"/>
        <w:pageBreakBefore w:val="0"/>
        <w:widowControl w:val="0"/>
        <w:kinsoku/>
        <w:wordWrap/>
        <w:overflowPunct/>
        <w:topLinePunct w:val="0"/>
        <w:autoSpaceDE/>
        <w:autoSpaceDN/>
        <w:bidi w:val="0"/>
        <w:adjustRightInd/>
        <w:snapToGrid/>
        <w:spacing w:line="592" w:lineRule="exact"/>
        <w:ind w:firstLine="645"/>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1.市级重点实验室的项目负责人、主要科研人员；</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2.市级技能大师工作室领衔人；</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近五年，获得“自治区优秀教师”“自治区优秀教育工作者”“自治区优秀班主任”“自治区优秀德育工作者”“自治区教学能手”“自治区学科带头人”“自治区优秀乡村教师”“自治区基本功大赛一等奖”等荣誉称号之一。</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（五）中国文化艺术政府奖“文华奖”“群星奖”（包括子项）三等奖。</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（六）近五年，获得省（自治区）、市（副省级）临床重点专科（学科）、医学重点专科（学科）带头人及主要科研人员。</w:t>
      </w:r>
    </w:p>
    <w:p>
      <w:pPr>
        <w:keepNext w:val="0"/>
        <w:keepLines w:val="0"/>
        <w:pageBreakBefore w:val="0"/>
        <w:widowControl w:val="0"/>
        <w:kinsoku/>
        <w:wordWrap/>
        <w:overflowPunct/>
        <w:topLinePunct w:val="0"/>
        <w:autoSpaceDE/>
        <w:autoSpaceDN/>
        <w:bidi w:val="0"/>
        <w:adjustRightInd/>
        <w:snapToGrid/>
        <w:spacing w:line="592" w:lineRule="exact"/>
        <w:ind w:firstLine="645"/>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（七）相当于上述层次的其他人才。</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92"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第二章　达拉特英才评定标准</w:t>
      </w:r>
    </w:p>
    <w:p>
      <w:pPr>
        <w:keepNext w:val="0"/>
        <w:keepLines w:val="0"/>
        <w:pageBreakBefore w:val="0"/>
        <w:widowControl w:val="0"/>
        <w:kinsoku/>
        <w:wordWrap/>
        <w:overflowPunct/>
        <w:topLinePunct w:val="0"/>
        <w:autoSpaceDE/>
        <w:autoSpaceDN/>
        <w:bidi w:val="0"/>
        <w:adjustRightInd/>
        <w:snapToGrid/>
        <w:spacing w:line="592"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黑体" w:hAnsi="黑体" w:eastAsia="黑体" w:cs="黑体"/>
          <w:sz w:val="32"/>
          <w:szCs w:val="32"/>
        </w:rPr>
      </w:pPr>
      <w:r>
        <w:rPr>
          <w:rFonts w:hint="eastAsia" w:ascii="黑体" w:hAnsi="黑体" w:eastAsia="黑体" w:cs="黑体"/>
          <w:color w:val="000000"/>
          <w:sz w:val="32"/>
          <w:szCs w:val="32"/>
        </w:rPr>
        <w:t>一、“达拉特杰出英才”评定标准</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鄂尔多斯市、达拉特旗支柱产业、重点发展行业中，已被认定或评定为鄂尔多斯市高层次人才，经行业主管部门、同行专家推荐，能力业绩达到或接近“达拉特杰出英才”认定标准，在国内有较大影响力的拔尖人才，以及相当于达拉特杰出英才认定标准的高层次人才。</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黑体" w:hAnsi="黑体" w:eastAsia="黑体" w:cs="黑体"/>
          <w:sz w:val="32"/>
          <w:szCs w:val="32"/>
        </w:rPr>
      </w:pPr>
      <w:r>
        <w:rPr>
          <w:rFonts w:hint="eastAsia" w:ascii="黑体" w:hAnsi="黑体" w:eastAsia="黑体" w:cs="黑体"/>
          <w:color w:val="000000"/>
          <w:sz w:val="32"/>
          <w:szCs w:val="32"/>
        </w:rPr>
        <w:t>二、“达拉特贡献突出英才”评定标准</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近五年来，在自然科学和工程技术领域，有发明创造，科研能力得到同行认可；在自治区、市级重点工程、重大科技项目、高科技企业技术设计、改造、研制、建造、运行、管理中，创造性地提出了解决方案，突显科研、管理潜力，取得了较大的经济效益或社会效益。一般应具备下列条件之一：</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1.国家、省部级、市级科技计划项目和国家、自治区、市级自然科学基金重大项目科研人员；</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2.国家、自治区、市科技奖励项目获奖人员；</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3.国家、省（自治区）、市级重点学科、重点实验室、工程技术研究中心、企业技术中心科研人员；</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4.取得发明专利授权。</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近五年来，在哲学社会科学、文化、艺术、体育训练、教育、卫生、新闻出版和民族传统工艺等领域，在经营管理中取得了较大的经济效益或社会效益，或在基础理论研究、科研方面有创新，获得国家、自治区、市相关奖项。</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（三）近五年来，在现代农牧业、现代服务业、先进制造业、战略性新兴产业与高技术产业、传统优势特色产业等领域，取得了较大的经济效益或社会效益，为达拉特旗急需紧缺的优秀人才。</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（四）其他业绩突出、创新能力强、发展潜力大，达拉特旗急需紧缺的优秀人才。</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（五）相当于“达拉特贡献突出英才”评定标准的其他人才。</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三、“达拉特青年优秀人才”评定标准</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ascii="Times New Roman" w:hAnsi="Times New Roman" w:eastAsia="仿宋_GB2312"/>
          <w:sz w:val="32"/>
          <w:szCs w:val="32"/>
          <w:lang w:bidi="ar"/>
        </w:rPr>
      </w:pPr>
      <w:r>
        <w:rPr>
          <w:rFonts w:hint="eastAsia" w:ascii="Times New Roman" w:hAnsi="Times New Roman" w:eastAsia="仿宋_GB2312"/>
          <w:sz w:val="32"/>
          <w:szCs w:val="32"/>
          <w:lang w:bidi="ar"/>
        </w:rPr>
        <w:t>近五年，在所从事的专业领域，科研能力或技术技能得到同行认可，</w:t>
      </w:r>
      <w:r>
        <w:rPr>
          <w:rFonts w:ascii="Times New Roman" w:hAnsi="Times New Roman" w:eastAsia="仿宋_GB2312"/>
          <w:sz w:val="32"/>
          <w:szCs w:val="32"/>
          <w:lang w:bidi="ar"/>
        </w:rPr>
        <w:t>在理论研究</w:t>
      </w:r>
      <w:r>
        <w:rPr>
          <w:rFonts w:hint="eastAsia" w:ascii="Times New Roman" w:hAnsi="Times New Roman" w:eastAsia="仿宋_GB2312"/>
          <w:sz w:val="32"/>
          <w:szCs w:val="32"/>
          <w:lang w:bidi="ar"/>
        </w:rPr>
        <w:t>或工作实践方面取得了较突出的经济效益或社会效益，工作</w:t>
      </w:r>
      <w:r>
        <w:rPr>
          <w:rFonts w:ascii="Times New Roman" w:hAnsi="Times New Roman" w:eastAsia="仿宋_GB2312"/>
          <w:sz w:val="32"/>
          <w:szCs w:val="32"/>
          <w:lang w:bidi="ar"/>
        </w:rPr>
        <w:t>业绩突出、创新能力</w:t>
      </w:r>
      <w:r>
        <w:rPr>
          <w:rFonts w:hint="eastAsia" w:ascii="Times New Roman" w:hAnsi="Times New Roman" w:eastAsia="仿宋_GB2312"/>
          <w:sz w:val="32"/>
          <w:szCs w:val="32"/>
          <w:lang w:bidi="ar"/>
        </w:rPr>
        <w:t>较</w:t>
      </w:r>
      <w:r>
        <w:rPr>
          <w:rFonts w:ascii="Times New Roman" w:hAnsi="Times New Roman" w:eastAsia="仿宋_GB2312"/>
          <w:sz w:val="32"/>
          <w:szCs w:val="32"/>
          <w:lang w:bidi="ar"/>
        </w:rPr>
        <w:t>强、发展潜力</w:t>
      </w:r>
      <w:r>
        <w:rPr>
          <w:rFonts w:hint="eastAsia" w:ascii="Times New Roman" w:hAnsi="Times New Roman" w:eastAsia="仿宋_GB2312"/>
          <w:sz w:val="32"/>
          <w:szCs w:val="32"/>
          <w:lang w:bidi="ar"/>
        </w:rPr>
        <w:t>较</w:t>
      </w:r>
      <w:r>
        <w:rPr>
          <w:rFonts w:ascii="Times New Roman" w:hAnsi="Times New Roman" w:eastAsia="仿宋_GB2312"/>
          <w:sz w:val="32"/>
          <w:szCs w:val="32"/>
          <w:lang w:bidi="ar"/>
        </w:rPr>
        <w:t>大</w:t>
      </w:r>
      <w:r>
        <w:rPr>
          <w:rFonts w:hint="eastAsia" w:ascii="Times New Roman" w:hAnsi="Times New Roman" w:eastAsia="仿宋_GB2312"/>
          <w:sz w:val="32"/>
          <w:szCs w:val="32"/>
          <w:lang w:bidi="ar"/>
        </w:rPr>
        <w:t>，达拉特旗</w:t>
      </w:r>
      <w:r>
        <w:rPr>
          <w:rFonts w:ascii="Times New Roman" w:hAnsi="Times New Roman" w:eastAsia="仿宋_GB2312"/>
          <w:sz w:val="32"/>
          <w:szCs w:val="32"/>
          <w:lang w:bidi="ar"/>
        </w:rPr>
        <w:t>急需紧缺的优秀青年人才。一般应具备下列条件之一：</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（一）具有正高级专业技术职务任职资格的专业技术人才；</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（二）具有副高级专业技术职务任职资格，并作为主要成员承担过</w:t>
      </w:r>
      <w:r>
        <w:rPr>
          <w:rFonts w:hint="eastAsia" w:ascii="Times New Roman" w:hAnsi="Times New Roman" w:eastAsia="仿宋_GB2312"/>
          <w:sz w:val="32"/>
          <w:szCs w:val="32"/>
        </w:rPr>
        <w:t>旗</w:t>
      </w:r>
      <w:r>
        <w:rPr>
          <w:rFonts w:ascii="Times New Roman" w:hAnsi="Times New Roman" w:eastAsia="仿宋_GB2312"/>
          <w:sz w:val="32"/>
          <w:szCs w:val="32"/>
        </w:rPr>
        <w:t>级以上研究课题或成果获</w:t>
      </w:r>
      <w:r>
        <w:rPr>
          <w:rFonts w:hint="eastAsia" w:ascii="Times New Roman" w:hAnsi="Times New Roman" w:eastAsia="仿宋_GB2312"/>
          <w:sz w:val="32"/>
          <w:szCs w:val="32"/>
        </w:rPr>
        <w:t>旗</w:t>
      </w:r>
      <w:r>
        <w:rPr>
          <w:rFonts w:ascii="Times New Roman" w:hAnsi="Times New Roman" w:eastAsia="仿宋_GB2312"/>
          <w:sz w:val="32"/>
          <w:szCs w:val="32"/>
        </w:rPr>
        <w:t>级以上奖励的专业技术人才；</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（三）</w:t>
      </w:r>
      <w:r>
        <w:rPr>
          <w:rFonts w:hint="eastAsia" w:ascii="Times New Roman" w:hAnsi="Times New Roman" w:eastAsia="仿宋_GB2312"/>
          <w:sz w:val="32"/>
          <w:szCs w:val="32"/>
        </w:rPr>
        <w:t>旗</w:t>
      </w:r>
      <w:r>
        <w:rPr>
          <w:rFonts w:ascii="Times New Roman" w:hAnsi="Times New Roman" w:eastAsia="仿宋_GB2312"/>
          <w:sz w:val="32"/>
          <w:szCs w:val="32"/>
        </w:rPr>
        <w:t>级工艺美术大师；</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（四）</w:t>
      </w:r>
      <w:r>
        <w:rPr>
          <w:rFonts w:hint="eastAsia" w:ascii="Times New Roman" w:hAnsi="Times New Roman" w:eastAsia="仿宋_GB2312"/>
          <w:sz w:val="32"/>
          <w:szCs w:val="32"/>
        </w:rPr>
        <w:t>旗</w:t>
      </w:r>
      <w:r>
        <w:rPr>
          <w:rFonts w:ascii="Times New Roman" w:hAnsi="Times New Roman" w:eastAsia="仿宋_GB2312"/>
          <w:sz w:val="32"/>
          <w:szCs w:val="32"/>
        </w:rPr>
        <w:t>级技能大师工作室领衔人；</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（五）具有高级技师职业资格证书，</w:t>
      </w:r>
      <w:r>
        <w:rPr>
          <w:rFonts w:hint="eastAsia" w:ascii="Times New Roman" w:hAnsi="Times New Roman" w:eastAsia="仿宋_GB2312"/>
          <w:sz w:val="32"/>
          <w:szCs w:val="32"/>
        </w:rPr>
        <w:t>或</w:t>
      </w:r>
      <w:r>
        <w:rPr>
          <w:rFonts w:ascii="Times New Roman" w:hAnsi="Times New Roman" w:eastAsia="仿宋_GB2312"/>
          <w:sz w:val="32"/>
          <w:szCs w:val="32"/>
        </w:rPr>
        <w:t>作为主要成员承担过</w:t>
      </w:r>
      <w:r>
        <w:rPr>
          <w:rFonts w:hint="eastAsia" w:ascii="Times New Roman" w:hAnsi="Times New Roman" w:eastAsia="仿宋_GB2312"/>
          <w:sz w:val="32"/>
          <w:szCs w:val="32"/>
        </w:rPr>
        <w:t>旗</w:t>
      </w:r>
      <w:r>
        <w:rPr>
          <w:rFonts w:ascii="Times New Roman" w:hAnsi="Times New Roman" w:eastAsia="仿宋_GB2312"/>
          <w:sz w:val="32"/>
          <w:szCs w:val="32"/>
        </w:rPr>
        <w:t>级以上研究课题或成果获</w:t>
      </w:r>
      <w:r>
        <w:rPr>
          <w:rFonts w:hint="eastAsia" w:ascii="Times New Roman" w:hAnsi="Times New Roman" w:eastAsia="仿宋_GB2312"/>
          <w:sz w:val="32"/>
          <w:szCs w:val="32"/>
        </w:rPr>
        <w:t>旗</w:t>
      </w:r>
      <w:r>
        <w:rPr>
          <w:rFonts w:ascii="Times New Roman" w:hAnsi="Times New Roman" w:eastAsia="仿宋_GB2312"/>
          <w:sz w:val="32"/>
          <w:szCs w:val="32"/>
        </w:rPr>
        <w:t>级以上奖励的技能人才（含农村实用人才）；</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（六）具有</w:t>
      </w:r>
      <w:r>
        <w:rPr>
          <w:rFonts w:hint="eastAsia" w:ascii="Times New Roman" w:hAnsi="Times New Roman" w:eastAsia="仿宋_GB2312"/>
          <w:sz w:val="32"/>
          <w:szCs w:val="32"/>
        </w:rPr>
        <w:t>中</w:t>
      </w:r>
      <w:r>
        <w:rPr>
          <w:rFonts w:ascii="Times New Roman" w:hAnsi="Times New Roman" w:eastAsia="仿宋_GB2312"/>
          <w:sz w:val="32"/>
          <w:szCs w:val="32"/>
        </w:rPr>
        <w:t>级社会工作师职业资格证书，并作为主要成员承担过</w:t>
      </w:r>
      <w:r>
        <w:rPr>
          <w:rFonts w:hint="eastAsia" w:ascii="Times New Roman" w:hAnsi="Times New Roman" w:eastAsia="仿宋_GB2312"/>
          <w:sz w:val="32"/>
          <w:szCs w:val="32"/>
        </w:rPr>
        <w:t>旗</w:t>
      </w:r>
      <w:r>
        <w:rPr>
          <w:rFonts w:ascii="Times New Roman" w:hAnsi="Times New Roman" w:eastAsia="仿宋_GB2312"/>
          <w:sz w:val="32"/>
          <w:szCs w:val="32"/>
        </w:rPr>
        <w:t>级以上研究课题或成果获</w:t>
      </w:r>
      <w:r>
        <w:rPr>
          <w:rFonts w:hint="eastAsia" w:ascii="Times New Roman" w:hAnsi="Times New Roman" w:eastAsia="仿宋_GB2312"/>
          <w:sz w:val="32"/>
          <w:szCs w:val="32"/>
        </w:rPr>
        <w:t>旗</w:t>
      </w:r>
      <w:r>
        <w:rPr>
          <w:rFonts w:ascii="Times New Roman" w:hAnsi="Times New Roman" w:eastAsia="仿宋_GB2312"/>
          <w:sz w:val="32"/>
          <w:szCs w:val="32"/>
        </w:rPr>
        <w:t>级以上奖励的社会工作人才；</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（七）市规模以上企业获市级以上奖励的企业经营管理人才（特指职业经理人）；</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（八）作为主要作者或通讯作者在国际、国内顶尖学术刊物上发表高水平论文；</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sz w:val="32"/>
          <w:szCs w:val="32"/>
        </w:rPr>
      </w:pPr>
      <w:r>
        <w:rPr>
          <w:rFonts w:ascii="Times New Roman" w:hAnsi="Times New Roman" w:eastAsia="仿宋_GB2312"/>
          <w:sz w:val="32"/>
          <w:szCs w:val="32"/>
        </w:rPr>
        <w:t>（九）创办小微企业，且企业有良好成长性的创业人才</w:t>
      </w:r>
      <w:r>
        <w:rPr>
          <w:rFonts w:hint="eastAsia" w:ascii="Times New Roman" w:hAnsi="Times New Roman"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仿宋_GB2312" w:eastAsia="仿宋_GB2312"/>
          <w:sz w:val="32"/>
          <w:szCs w:val="32"/>
        </w:rPr>
      </w:pPr>
      <w:r>
        <w:rPr>
          <w:rFonts w:ascii="Times New Roman" w:hAnsi="Times New Roman" w:eastAsia="仿宋_GB2312"/>
          <w:sz w:val="32"/>
          <w:szCs w:val="32"/>
        </w:rPr>
        <w:t>（十）相当于</w:t>
      </w:r>
      <w:r>
        <w:rPr>
          <w:rFonts w:hint="eastAsia" w:ascii="Times New Roman" w:hAnsi="Times New Roman" w:eastAsia="仿宋_GB2312"/>
          <w:sz w:val="32"/>
          <w:szCs w:val="32"/>
        </w:rPr>
        <w:t>“达拉特青年优秀人才”</w:t>
      </w:r>
      <w:r>
        <w:rPr>
          <w:rFonts w:ascii="Times New Roman" w:hAnsi="Times New Roman" w:eastAsia="仿宋_GB2312"/>
          <w:sz w:val="32"/>
          <w:szCs w:val="32"/>
        </w:rPr>
        <w:t>评定标准的其他人才。</w:t>
      </w:r>
    </w:p>
    <w:p>
      <w:pPr>
        <w:keepNext w:val="0"/>
        <w:keepLines w:val="0"/>
        <w:pageBreakBefore w:val="0"/>
        <w:widowControl w:val="0"/>
        <w:kinsoku/>
        <w:wordWrap/>
        <w:overflowPunct/>
        <w:topLinePunct w:val="0"/>
        <w:autoSpaceDE/>
        <w:autoSpaceDN/>
        <w:bidi w:val="0"/>
        <w:adjustRightInd/>
        <w:snapToGrid/>
        <w:spacing w:line="592" w:lineRule="exact"/>
        <w:ind w:firstLine="720" w:firstLineChars="200"/>
        <w:textAlignment w:val="auto"/>
        <w:outlineLvl w:val="9"/>
        <w:rPr>
          <w:rFonts w:hint="default" w:ascii="Times New Roman" w:hAnsi="Times New Roman" w:eastAsia="仿宋_GB2312" w:cs="Times New Roman"/>
          <w:sz w:val="36"/>
          <w:szCs w:val="36"/>
        </w:rPr>
      </w:pPr>
    </w:p>
    <w:p>
      <w:pPr>
        <w:pStyle w:val="5"/>
        <w:keepNext w:val="0"/>
        <w:keepLines w:val="0"/>
        <w:pageBreakBefore w:val="0"/>
        <w:kinsoku/>
        <w:wordWrap/>
        <w:overflowPunct/>
        <w:topLinePunct w:val="0"/>
        <w:autoSpaceDE/>
        <w:autoSpaceDN/>
        <w:bidi w:val="0"/>
        <w:adjustRightInd/>
        <w:snapToGrid/>
        <w:spacing w:line="592" w:lineRule="exact"/>
        <w:ind w:left="0" w:leftChars="0"/>
        <w:jc w:val="left"/>
        <w:textAlignment w:val="auto"/>
        <w:rPr>
          <w:rFonts w:hint="default" w:ascii="Times New Roman" w:hAnsi="Times New Roman" w:eastAsia="仿宋_GB2312" w:cs="Times New Roman"/>
          <w:sz w:val="32"/>
          <w:szCs w:val="32"/>
          <w:lang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w:panose1 w:val="020F0502020204030204"/>
    <w:charset w:val="00"/>
    <w:family w:val="swiss"/>
    <w:pitch w:val="default"/>
    <w:sig w:usb0="00000000" w:usb1="00000000" w:usb2="00000001" w:usb3="00000000" w:csb0="0000019F" w:csb1="00000000"/>
  </w:font>
  <w:font w:name="Lucida Sans">
    <w:panose1 w:val="020B0602030504020204"/>
    <w:charset w:val="00"/>
    <w:family w:val="auto"/>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8B4639"/>
    <w:rsid w:val="628B4639"/>
    <w:rsid w:val="7E5D55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标题1级"/>
    <w:next w:val="1"/>
    <w:qFormat/>
    <w:uiPriority w:val="0"/>
    <w:pPr>
      <w:spacing w:line="560" w:lineRule="exact"/>
      <w:jc w:val="center"/>
      <w:outlineLvl w:val="0"/>
    </w:pPr>
    <w:rPr>
      <w:rFonts w:ascii="Calibri" w:hAnsi="Calibri" w:eastAsia="方正小标宋简体" w:cs="Times New Roman"/>
      <w:kern w:val="2"/>
      <w:sz w:val="4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2020-01-14T01:32:00Z</dcterms:created>
  <dc:creator>几朵</dc:creator>
  <cp:lastModifiedBy>几朵</cp:lastModifiedBy>
  <dcterms:modified xsi:type="dcterms:W3CDTF">2020-01-14T01:33:25Z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